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08900" cy="10899790"/>
            <wp:effectExtent b="0" l="0" r="0" t="0"/>
            <wp:wrapSquare wrapText="bothSides" distB="0" distT="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899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  <w:color w:val="3f42db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f42db"/>
          <w:sz w:val="28"/>
          <w:szCs w:val="28"/>
          <w:rtl w:val="0"/>
        </w:rPr>
        <w:t xml:space="preserve">Programa Duponte de Investigación Clínica e Innovación Biomédica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Calibri" w:cs="Calibri" w:eastAsia="Calibri" w:hAnsi="Calibri"/>
          <w:i w:val="1"/>
          <w:iCs w:val="1"/>
          <w:color w:val="3f42db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f42db"/>
          <w:sz w:val="28"/>
          <w:szCs w:val="28"/>
          <w:rtl w:val="0"/>
        </w:rPr>
        <w:t xml:space="preserve">- Memoria Económica -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  <w:rtl w:val="0"/>
        </w:rPr>
        <w:t xml:space="preserve">Descripción detallada del presupuesto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Describa detalladamente cada una de las partidas presupuestarias incluidas en la propuesta, justificando su necesidad y adecuación para el correcto desarrollo del proyecto.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u w:val="single"/>
          <w:rtl w:val="0"/>
        </w:rPr>
        <w:t xml:space="preserve">Por favor, comprueben y ajusten su presupuesto a los rangos establecidos al final de la justificación en cada apartado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. (No es necesario rellenar todos los campos).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1.1. Personal </w:t>
      </w:r>
    </w:p>
    <w:p w:rsidR="00000000" w:rsidDel="00000000" w:rsidP="00000000" w:rsidRDefault="00000000" w:rsidRPr="00000000" w14:paraId="00000009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Indique el personal participante financiado con cargo al proyecto. Tenga en cuenta que los costes de personal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u w:val="single"/>
          <w:rtl w:val="0"/>
        </w:rPr>
        <w:t xml:space="preserve">no podrán superar el 40 %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 del presupuesto total solicitado.</w:t>
      </w:r>
    </w:p>
    <w:tbl>
      <w:tblPr>
        <w:tblStyle w:val="Table1"/>
        <w:tblW w:w="8494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1699"/>
        <w:gridCol w:w="1699"/>
        <w:gridCol w:w="1699"/>
        <w:tblGridChange w:id="0">
          <w:tblGrid>
            <w:gridCol w:w="1698"/>
            <w:gridCol w:w="1699"/>
            <w:gridCol w:w="1699"/>
            <w:gridCol w:w="1699"/>
            <w:gridCol w:w="1699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Categoría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Dedicación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N.º de meses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3f42db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3f42db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&lt; 40 % del total</w:t>
            </w:r>
          </w:p>
        </w:tc>
      </w:tr>
    </w:tbl>
    <w:p w:rsidR="00000000" w:rsidDel="00000000" w:rsidP="00000000" w:rsidRDefault="00000000" w:rsidRPr="00000000" w14:paraId="0000001E">
      <w:pPr>
        <w:spacing w:after="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788"/>
        </w:tabs>
        <w:spacing w:after="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1.2. Material fungible y consumibles</w:t>
      </w:r>
    </w:p>
    <w:p w:rsidR="00000000" w:rsidDel="00000000" w:rsidP="00000000" w:rsidRDefault="00000000" w:rsidRPr="00000000" w14:paraId="00000020">
      <w:pPr>
        <w:tabs>
          <w:tab w:val="left" w:leader="none" w:pos="4788"/>
        </w:tabs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Describa los reactivos, kits, consumibles clínicos o de laboratorio y otros materiales necesarios para la ejecución del proyecto.</w:t>
      </w:r>
    </w:p>
    <w:tbl>
      <w:tblPr>
        <w:tblStyle w:val="Table2"/>
        <w:tblW w:w="8502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5105"/>
        <w:tblGridChange w:id="0">
          <w:tblGrid>
            <w:gridCol w:w="1698"/>
            <w:gridCol w:w="1699"/>
            <w:gridCol w:w="5105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f42db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Sumatorio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Rango solicitado: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6"/>
                <w:szCs w:val="16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tabs>
          <w:tab w:val="left" w:leader="none" w:pos="4788"/>
        </w:tabs>
        <w:spacing w:after="0" w:before="24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1.3. Equipamiento e infraestructuras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Incluya equipamiento científico, tecnológico o clínico necesario para el desarrollo del proyecto.</w:t>
      </w:r>
    </w:p>
    <w:tbl>
      <w:tblPr>
        <w:tblStyle w:val="Table3"/>
        <w:tblW w:w="8502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5105"/>
        <w:tblGridChange w:id="0">
          <w:tblGrid>
            <w:gridCol w:w="1698"/>
            <w:gridCol w:w="1699"/>
            <w:gridCol w:w="5105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f42db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 se requiere equipamiento adicional</w:t>
            </w:r>
          </w:p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equiere equipamiento adicional (justificar en el siguiente apartado)</w:t>
            </w:r>
          </w:p>
        </w:tc>
      </w:tr>
    </w:tbl>
    <w:p w:rsidR="00000000" w:rsidDel="00000000" w:rsidP="00000000" w:rsidRDefault="00000000" w:rsidRPr="00000000" w14:paraId="0000003D">
      <w:pPr>
        <w:spacing w:after="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1.4. Servicios externos y subcontrataciones</w:t>
      </w:r>
    </w:p>
    <w:p w:rsidR="00000000" w:rsidDel="00000000" w:rsidP="00000000" w:rsidRDefault="00000000" w:rsidRPr="00000000" w14:paraId="0000003F">
      <w:pPr>
        <w:spacing w:before="240" w:line="276" w:lineRule="auto"/>
        <w:jc w:val="both"/>
        <w:rPr>
          <w:i w:val="1"/>
          <w:iCs w:val="1"/>
          <w:color w:val="939ebb"/>
        </w:rPr>
      </w:pPr>
      <w:r w:rsidDel="00000000" w:rsidR="00000000" w:rsidRPr="00000000">
        <w:rPr>
          <w:i w:val="1"/>
          <w:iCs w:val="1"/>
          <w:color w:val="939ebb"/>
          <w:rtl w:val="0"/>
        </w:rPr>
        <w:t xml:space="preserve">Incluya los gastos en servicios especializados externos necesarios para el proyecto. Los servicios externos deberán estar directamente relacionados con los objetivos del proyecto y adecuadamente justificados en términos de necesidad científica y técnica. La cantidad financiable para externalización de servicios será </w:t>
      </w:r>
      <w:r w:rsidDel="00000000" w:rsidR="00000000" w:rsidRPr="00000000">
        <w:rPr>
          <w:i w:val="1"/>
          <w:iCs w:val="1"/>
          <w:color w:val="939ebb"/>
          <w:u w:val="single"/>
          <w:rtl w:val="0"/>
        </w:rPr>
        <w:t xml:space="preserve">&lt; 60 % del presupuesto</w:t>
      </w:r>
      <w:r w:rsidDel="00000000" w:rsidR="00000000" w:rsidRPr="00000000">
        <w:rPr>
          <w:i w:val="1"/>
          <w:iCs w:val="1"/>
          <w:color w:val="939ebb"/>
          <w:rtl w:val="0"/>
        </w:rPr>
        <w:t xml:space="preserve"> total solicitado.</w:t>
      </w:r>
    </w:p>
    <w:tbl>
      <w:tblPr>
        <w:tblStyle w:val="Table4"/>
        <w:tblW w:w="8502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5105"/>
        <w:tblGridChange w:id="0">
          <w:tblGrid>
            <w:gridCol w:w="1698"/>
            <w:gridCol w:w="1699"/>
            <w:gridCol w:w="5105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Servicio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Rango solicitado: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6"/>
                <w:szCs w:val="16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1.5. Costes asociados a gestión clínica y regulatoria</w:t>
      </w:r>
    </w:p>
    <w:p w:rsidR="00000000" w:rsidDel="00000000" w:rsidP="00000000" w:rsidRDefault="00000000" w:rsidRPr="00000000" w14:paraId="0000004E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Incluya los gastos asociados a la ejecución clínica del proyecto que no correspondan directamente a actividades científicas, tales como overheads, costes regulatorios, éticos y operativos necesarios para el desarrollo del estudio. No se incluirán en este apartado los costes derivados de la actividad asistencial habitual del centro.</w:t>
      </w:r>
    </w:p>
    <w:tbl>
      <w:tblPr>
        <w:tblStyle w:val="Table5"/>
        <w:tblW w:w="8502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5105"/>
        <w:tblGridChange w:id="0">
          <w:tblGrid>
            <w:gridCol w:w="1698"/>
            <w:gridCol w:w="1699"/>
            <w:gridCol w:w="5105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Rango solicitado: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6"/>
                <w:szCs w:val="16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1.6. Difusión de resultados y publicaciones científicas</w:t>
      </w:r>
    </w:p>
    <w:p w:rsidR="00000000" w:rsidDel="00000000" w:rsidP="00000000" w:rsidRDefault="00000000" w:rsidRPr="00000000" w14:paraId="0000005D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Incluya gastos previstos para la publicación científicas, la participación en congresos y otras actividades de difusión de los resultados del estudio. Estos gastos deberán estar directamente vinculados al proyecto financiado.</w:t>
      </w:r>
    </w:p>
    <w:tbl>
      <w:tblPr>
        <w:tblStyle w:val="Table6"/>
        <w:tblW w:w="8502.0" w:type="dxa"/>
        <w:jc w:val="left"/>
        <w:tblBorders>
          <w:top w:color="13009e" w:space="0" w:sz="4" w:val="single"/>
          <w:left w:color="13009e" w:space="0" w:sz="4" w:val="single"/>
          <w:bottom w:color="13009e" w:space="0" w:sz="4" w:val="single"/>
          <w:right w:color="13009e" w:space="0" w:sz="4" w:val="single"/>
          <w:insideH w:color="13009e" w:space="0" w:sz="4" w:val="single"/>
          <w:insideV w:color="13009e" w:space="0" w:sz="4" w:val="single"/>
        </w:tblBorders>
        <w:tblLayout w:type="fixed"/>
        <w:tblLook w:val="0400"/>
      </w:tblPr>
      <w:tblGrid>
        <w:gridCol w:w="1698"/>
        <w:gridCol w:w="1699"/>
        <w:gridCol w:w="5105"/>
        <w:tblGridChange w:id="0">
          <w:tblGrid>
            <w:gridCol w:w="1698"/>
            <w:gridCol w:w="1699"/>
            <w:gridCol w:w="5105"/>
          </w:tblGrid>
        </w:tblGridChange>
      </w:tblGrid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Concepto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Coste (€)</w:t>
            </w:r>
          </w:p>
        </w:tc>
        <w:tc>
          <w:tcPr>
            <w:shd w:fill="3f42d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f42db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Sumatorio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bd3d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Rango solicitado: </w:t>
            </w:r>
            <w:r w:rsidDel="00000000" w:rsidR="00000000" w:rsidRPr="00000000">
              <w:rPr>
                <w:rFonts w:ascii="Calibri" w:cs="Calibri" w:eastAsia="Calibri" w:hAnsi="Calibri"/>
                <w:color w:val="666666"/>
                <w:sz w:val="16"/>
                <w:szCs w:val="16"/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  <w:rtl w:val="0"/>
        </w:rPr>
        <w:t xml:space="preserve">Justificación global del presupuesto</w:t>
      </w:r>
    </w:p>
    <w:p w:rsidR="00000000" w:rsidDel="00000000" w:rsidP="00000000" w:rsidRDefault="00000000" w:rsidRPr="00000000" w14:paraId="00000076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939ebb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Explique la adecuación y coherencia del presupuesto solicitado en relación con los objetivos, alcance y plan de trabajo del proyecto.</w:t>
      </w:r>
    </w:p>
    <w:p w:rsidR="00000000" w:rsidDel="00000000" w:rsidP="00000000" w:rsidRDefault="00000000" w:rsidRPr="00000000" w14:paraId="00000077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f42db"/>
          <w:sz w:val="28"/>
          <w:szCs w:val="28"/>
          <w:u w:val="none"/>
          <w:shd w:fill="auto" w:val="clear"/>
          <w:vertAlign w:val="baseline"/>
          <w:rtl w:val="0"/>
        </w:rPr>
        <w:t xml:space="preserve">Recursos y aportaciones de Duponte</w:t>
      </w:r>
    </w:p>
    <w:p w:rsidR="00000000" w:rsidDel="00000000" w:rsidP="00000000" w:rsidRDefault="00000000" w:rsidRPr="00000000" w14:paraId="0000008D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939ebb"/>
          <w:rtl w:val="0"/>
        </w:rPr>
        <w:t xml:space="preserve">Enumere los recursos que aportará Duponte en cuanto a conocimiento, software, desarrollo o infraestructura.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240" w:line="276" w:lineRule="auto"/>
        <w:jc w:val="both"/>
        <w:rPr>
          <w:rFonts w:ascii="Calibri" w:cs="Calibri" w:eastAsia="Calibri" w:hAnsi="Calibri"/>
          <w:b w:val="1"/>
          <w:bCs w:val="1"/>
          <w:color w:val="13009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240" w:line="276" w:lineRule="auto"/>
        <w:jc w:val="both"/>
        <w:rPr>
          <w:rFonts w:ascii="Calibri" w:cs="Calibri" w:eastAsia="Calibri" w:hAnsi="Calibri"/>
          <w:i w:val="1"/>
          <w:iCs w:val="1"/>
          <w:color w:val="0d006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240"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d006c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92060" cy="107188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49950" y="0"/>
                          <a:ext cx="7592060" cy="10718800"/>
                          <a:chOff x="1549950" y="0"/>
                          <a:chExt cx="7592100" cy="7560000"/>
                        </a:xfrm>
                      </wpg:grpSpPr>
                      <wpg:grpSp>
                        <wpg:cNvGrpSpPr/>
                        <wpg:grpSpPr>
                          <a:xfrm>
                            <a:off x="1549970" y="0"/>
                            <a:ext cx="7592060" cy="7560000"/>
                            <a:chOff x="0" y="0"/>
                            <a:chExt cx="7592060" cy="10718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92050" cy="1071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592060" cy="1071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868680" y="9799320"/>
                              <a:ext cx="1149350" cy="510540"/>
                            </a:xfrm>
                            <a:prstGeom prst="rect">
                              <a:avLst/>
                            </a:prstGeom>
                            <a:solidFill>
                              <a:srgbClr val="4141D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77.9999923706054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oppins" w:cs="Poppins" w:eastAsia="Poppins" w:hAnsi="Poppi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61fc3d"/>
                                    <w:sz w:val="28"/>
                                    <w:vertAlign w:val="baseline"/>
                                  </w:rPr>
                                  <w:t xml:space="preserve">2026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554480" y="8122920"/>
                              <a:ext cx="4582795" cy="510540"/>
                            </a:xfrm>
                            <a:prstGeom prst="rect">
                              <a:avLst/>
                            </a:prstGeom>
                            <a:solidFill>
                              <a:srgbClr val="4141D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77.99999237060547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92060" cy="10718800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2060" cy="1071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417" w:top="1417" w:left="1701" w:right="1701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206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2060"/>
        <w:sz w:val="20"/>
        <w:szCs w:val="20"/>
        <w:u w:val="none"/>
        <w:shd w:fill="auto" w:val="clear"/>
        <w:vertAlign w:val="baseline"/>
        <w:rtl w:val="0"/>
      </w:rPr>
      <w:t xml:space="preserve">Programa Duponte de Investigación Clínica e Innovación Biomédica. Convocatoria 2026.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Duponte Investigación y Desarrollo S. L.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 </w:t>
      <w:tab/>
      <w:t xml:space="preserve">                                                                                 </w:t>
      <w:tab/>
      <w:t xml:space="preserve">Pág.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18335" cy="47117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8335" cy="471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/mQcNQQsrQKd/+CTih5ihjvMQ==">CgMxLjA4AHIhMVk1b0Z3OGxaeVZEbXUybE9JekZlcEMwdDJLb2RIZFNu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